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C4977" w:rsidRPr="001C4977" w:rsidTr="001C49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outlineLvl w:val="0"/>
            </w:pPr>
            <w:bookmarkStart w:id="0" w:name="_GoBack"/>
            <w:r w:rsidRPr="001C4977">
              <w:t>9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right"/>
              <w:outlineLvl w:val="0"/>
            </w:pPr>
            <w:r w:rsidRPr="001C4977">
              <w:t>N 2054-ОЗ</w:t>
            </w:r>
          </w:p>
        </w:tc>
      </w:tr>
    </w:tbl>
    <w:p w:rsidR="001C4977" w:rsidRPr="001C4977" w:rsidRDefault="001C49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jc w:val="center"/>
      </w:pPr>
      <w:r w:rsidRPr="001C4977">
        <w:t>ВОЛОГОДСКАЯ ОБЛАСТЬ</w:t>
      </w:r>
    </w:p>
    <w:p w:rsidR="001C4977" w:rsidRPr="001C4977" w:rsidRDefault="001C4977">
      <w:pPr>
        <w:pStyle w:val="ConsPlusTitle"/>
        <w:jc w:val="center"/>
      </w:pPr>
    </w:p>
    <w:p w:rsidR="001C4977" w:rsidRPr="001C4977" w:rsidRDefault="001C4977">
      <w:pPr>
        <w:pStyle w:val="ConsPlusTitle"/>
        <w:jc w:val="center"/>
      </w:pPr>
      <w:r w:rsidRPr="001C4977">
        <w:t>ЗАКОН</w:t>
      </w:r>
    </w:p>
    <w:p w:rsidR="001C4977" w:rsidRPr="001C4977" w:rsidRDefault="001C4977">
      <w:pPr>
        <w:pStyle w:val="ConsPlusTitle"/>
        <w:jc w:val="center"/>
      </w:pPr>
    </w:p>
    <w:p w:rsidR="001C4977" w:rsidRPr="001C4977" w:rsidRDefault="001C4977">
      <w:pPr>
        <w:pStyle w:val="ConsPlusTitle"/>
        <w:jc w:val="center"/>
      </w:pPr>
      <w:r w:rsidRPr="001C4977">
        <w:t>О ПРОТИВОДЕЙСТВИИ КОРРУПЦИИ В ВОЛОГОДСКОЙ ОБЛАСТИ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right"/>
      </w:pPr>
      <w:proofErr w:type="gramStart"/>
      <w:r w:rsidRPr="001C4977">
        <w:t>Принят</w:t>
      </w:r>
      <w:proofErr w:type="gramEnd"/>
    </w:p>
    <w:p w:rsidR="001C4977" w:rsidRPr="001C4977" w:rsidRDefault="001C4977">
      <w:pPr>
        <w:pStyle w:val="ConsPlusNormal"/>
        <w:jc w:val="right"/>
      </w:pPr>
      <w:r w:rsidRPr="001C4977">
        <w:t>Постановлением</w:t>
      </w:r>
    </w:p>
    <w:p w:rsidR="001C4977" w:rsidRPr="001C4977" w:rsidRDefault="001C4977">
      <w:pPr>
        <w:pStyle w:val="ConsPlusNormal"/>
        <w:jc w:val="right"/>
      </w:pPr>
      <w:r w:rsidRPr="001C4977">
        <w:t>Законодательного Собрания</w:t>
      </w:r>
    </w:p>
    <w:p w:rsidR="001C4977" w:rsidRPr="001C4977" w:rsidRDefault="001C4977">
      <w:pPr>
        <w:pStyle w:val="ConsPlusNormal"/>
        <w:jc w:val="right"/>
      </w:pPr>
      <w:r w:rsidRPr="001C4977">
        <w:t>Вологодской области</w:t>
      </w:r>
    </w:p>
    <w:p w:rsidR="001C4977" w:rsidRPr="001C4977" w:rsidRDefault="001C4977">
      <w:pPr>
        <w:pStyle w:val="ConsPlusNormal"/>
        <w:jc w:val="right"/>
      </w:pPr>
      <w:r w:rsidRPr="001C4977">
        <w:t>от 1 июля 2009 г. N 424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Настоящий закон области устанавливает правовые и организационные основы противодействия коррупции в Вологодской области.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bookmarkStart w:id="1" w:name="P18"/>
      <w:bookmarkEnd w:id="1"/>
      <w:r w:rsidRPr="001C4977">
        <w:t>Статья 1. Полномочия органов государственной власти области в сфере противодействия коррупции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1. Органы государственной власти области осуществляют противодействие коррупции в пределах своих полномочий, в том числе в рамках: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обеспечения законности, правопорядка, общественной безопасности;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защиты прав и свобод человека и гражданина;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установления порядка подготовки и принятия нормативных правовых актов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правового регулирования государственной гражданской службы области и ее организации, а также установления правовых основ муниципальной службы в пределах своей компетенции;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осуществления от имени области функций и полномочий учредителя.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2. Законодательное Собрание области: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осуществляет законодательное регулирование в сфере противодействия коррупции на территории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осуществляет </w:t>
      </w:r>
      <w:proofErr w:type="gramStart"/>
      <w:r w:rsidRPr="001C4977">
        <w:t>контроль за</w:t>
      </w:r>
      <w:proofErr w:type="gramEnd"/>
      <w:r w:rsidRPr="001C4977">
        <w:t xml:space="preserve"> соблюдением и исполнением законов области и иных нормативных правовых актов Законодательного Собрания области в сфере противодействия коррупции;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осуществляет антикоррупционную экспертизу законов области и нормативных правовых актов Законодательного Собрания области и их проектов;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утверждает план мероприятий Законодательного Собрания области по противодействию коррупции;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3. Губернатор области: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определяет направления деятельности исполнительных органов области в сфере </w:t>
      </w:r>
      <w:r w:rsidRPr="001C4977">
        <w:lastRenderedPageBreak/>
        <w:t>противодействия коррупции на территории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определяет мероприятия по реализации Национального плана противодействия коррупции, федерального законодательства о противодействии коррупции в исполнительных органах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организует проведение антикоррупционной экспертизы проектов нормативных правовых актов, вносимых в Законодательное Собрание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 xml:space="preserve">принимает решение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5">
        <w:r w:rsidRPr="001C4977">
          <w:t>законодательством</w:t>
        </w:r>
      </w:hyperlink>
      <w:r w:rsidRPr="001C4977">
        <w:t xml:space="preserve"> Российской Федерации о противодействии коррупции лицами, замещающими муниципальные должности, гражданами, претендующими на замещение указанных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контракту;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4. Правительство области и исполнительные органы области: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осуществляют антикоррупционную экспертизу проектов нормативных правовых актов исполнительных органов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осуществляют мероприятия по противодействию коррупции в исполнительных органах области и подведомственных им организациях;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осуществляют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5. Правительство области организует и контролирует деятельность исполнительных органов области по противодействию коррупции, Губернатор области - деятельность исполнительного органа области, являющегося органом по профилактике коррупционных и иных правонарушений, находящегося в его непосредственной подчиненности.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2. 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области, в том числе путем образования по согласованию совместных рабочих групп, комиссий, иных совещательных органов.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характера, порядок проведения проверки их достоверности и полноты, порядок размещения обобщенной информации на официальных сайтах органов местного самоуправления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bookmarkStart w:id="2" w:name="P50"/>
      <w:bookmarkEnd w:id="2"/>
      <w:r w:rsidRPr="001C4977">
        <w:t xml:space="preserve">1. </w:t>
      </w:r>
      <w:proofErr w:type="gramStart"/>
      <w:r w:rsidRPr="001C4977">
        <w:t xml:space="preserve">Главы муниципальных образований области, лица, замещающие иные муниципальные </w:t>
      </w:r>
      <w:r w:rsidRPr="001C4977">
        <w:lastRenderedPageBreak/>
        <w:t xml:space="preserve">должности, за исключением лиц, указанных в </w:t>
      </w:r>
      <w:hyperlink w:anchor="P51">
        <w:r w:rsidRPr="001C4977">
          <w:t>частях 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</w:t>
      </w:r>
      <w:proofErr w:type="gramEnd"/>
      <w:r w:rsidRPr="001C4977">
        <w:t xml:space="preserve"> отчетным.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3" w:name="P51"/>
      <w:bookmarkEnd w:id="3"/>
      <w:r w:rsidRPr="001C4977">
        <w:t xml:space="preserve">2. </w:t>
      </w:r>
      <w:proofErr w:type="gramStart"/>
      <w:r w:rsidRPr="001C4977">
        <w:t>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4" w:name="P52"/>
      <w:bookmarkEnd w:id="4"/>
      <w:r w:rsidRPr="001C4977">
        <w:t xml:space="preserve">2(1). </w:t>
      </w:r>
      <w:proofErr w:type="gramStart"/>
      <w:r w:rsidRPr="001C4977">
        <w:t>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 xml:space="preserve">В случае если в течение отчетного периода совершались сделки, предусмотренные </w:t>
      </w:r>
      <w:hyperlink r:id="rId6">
        <w:r w:rsidRPr="001C4977">
          <w:t>частью 1 статьи 3</w:t>
        </w:r>
      </w:hyperlink>
      <w:r w:rsidRPr="001C4977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расходах, об имуществе и</w:t>
      </w:r>
      <w:proofErr w:type="gramEnd"/>
      <w:r w:rsidRPr="001C4977">
        <w:t xml:space="preserve">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не позднее 1 апреля года, следующего за </w:t>
      </w:r>
      <w:proofErr w:type="gramStart"/>
      <w:r w:rsidRPr="001C4977">
        <w:t>отчетным</w:t>
      </w:r>
      <w:proofErr w:type="gramEnd"/>
      <w:r w:rsidRPr="001C4977">
        <w:t>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 xml:space="preserve">В случае если в течение отчетного периода сделки, предусмотренные </w:t>
      </w:r>
      <w:hyperlink r:id="rId7">
        <w:r w:rsidRPr="001C4977">
          <w:t>частью 1 статьи 3</w:t>
        </w:r>
      </w:hyperlink>
      <w:r w:rsidRPr="001C4977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представительного органа</w:t>
      </w:r>
      <w:proofErr w:type="gramEnd"/>
      <w:r w:rsidRPr="001C4977">
        <w:t xml:space="preserve"> </w:t>
      </w:r>
      <w:proofErr w:type="gramStart"/>
      <w:r w:rsidRPr="001C4977">
        <w:t xml:space="preserve">муниципального образования области, осуществляющий свои полномочия на непостоянной основе, сообщает об этом Губернатору области не позднее 1 апреля года, следующего за отчетным, путем направления в исполнительный орган области, являющийся органом по профилактике коррупционных и иных правонарушений, </w:t>
      </w:r>
      <w:hyperlink w:anchor="P168">
        <w:r w:rsidRPr="001C4977">
          <w:t>уведомления</w:t>
        </w:r>
      </w:hyperlink>
      <w:r w:rsidRPr="001C4977">
        <w:t>, составленного по форме согласно приложению 1 к настоящему закону области (далее - уведомление).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5" w:name="P55"/>
      <w:bookmarkEnd w:id="5"/>
      <w:r w:rsidRPr="001C4977">
        <w:t>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самоуправления, принимающим решение о назначении на муниципальную должность.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>Граждане, претендующие на замещение должности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сроки, установленные для подачи документов на участие в</w:t>
      </w:r>
      <w:proofErr w:type="gramEnd"/>
      <w:r w:rsidRPr="001C4977">
        <w:t xml:space="preserve"> </w:t>
      </w:r>
      <w:proofErr w:type="gramStart"/>
      <w:r w:rsidRPr="001C4977">
        <w:t>конкурсе</w:t>
      </w:r>
      <w:proofErr w:type="gramEnd"/>
      <w:r w:rsidRPr="001C4977">
        <w:t xml:space="preserve"> по отбору кандидатур на должность главы муниципального образования.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lastRenderedPageBreak/>
        <w:t xml:space="preserve">4. </w:t>
      </w:r>
      <w:proofErr w:type="gramStart"/>
      <w:r w:rsidRPr="001C4977">
        <w:t xml:space="preserve">Лица, указанные в </w:t>
      </w:r>
      <w:hyperlink w:anchor="P50">
        <w:r w:rsidRPr="001C4977">
          <w:t>частях 1</w:t>
        </w:r>
      </w:hyperlink>
      <w:r w:rsidRPr="001C4977">
        <w:t xml:space="preserve">, </w:t>
      </w:r>
      <w:hyperlink w:anchor="P51">
        <w:r w:rsidRPr="001C4977">
          <w:t>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, </w:t>
      </w:r>
      <w:hyperlink w:anchor="P55">
        <w:r w:rsidRPr="001C4977">
          <w:t>3</w:t>
        </w:r>
      </w:hyperlink>
      <w:r w:rsidRPr="001C4977">
        <w:t xml:space="preserve"> настоящей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 по утвержденной Президентом Российской Федерации </w:t>
      </w:r>
      <w:hyperlink r:id="rId8">
        <w:r w:rsidRPr="001C4977">
          <w:t>форме</w:t>
        </w:r>
      </w:hyperlink>
      <w:r w:rsidRPr="001C4977">
        <w:t xml:space="preserve"> справки путем направления их в исполнительный орган области, являющийся органом по профилактике коррупционных</w:t>
      </w:r>
      <w:proofErr w:type="gramEnd"/>
      <w:r w:rsidRPr="001C4977">
        <w:t xml:space="preserve"> и иных правонарушений.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5. </w:t>
      </w:r>
      <w:proofErr w:type="gramStart"/>
      <w:r w:rsidRPr="001C4977">
        <w:t xml:space="preserve">В случае если лица, указанные в </w:t>
      </w:r>
      <w:hyperlink w:anchor="P50">
        <w:r w:rsidRPr="001C4977">
          <w:t>частях 1</w:t>
        </w:r>
      </w:hyperlink>
      <w:r w:rsidRPr="001C4977">
        <w:t xml:space="preserve">, </w:t>
      </w:r>
      <w:hyperlink w:anchor="P51">
        <w:r w:rsidRPr="001C4977">
          <w:t>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, </w:t>
      </w:r>
      <w:hyperlink w:anchor="P55">
        <w:r w:rsidRPr="001C4977">
          <w:t>3</w:t>
        </w:r>
      </w:hyperlink>
      <w:r w:rsidRPr="001C4977">
        <w:t xml:space="preserve"> настоящей статьи,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proofErr w:type="gramEnd"/>
      <w:r w:rsidRPr="001C4977">
        <w:t xml:space="preserve"> Уточненные сведения представляются: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лицами, указанными в </w:t>
      </w:r>
      <w:hyperlink w:anchor="P50">
        <w:r w:rsidRPr="001C4977">
          <w:t>частях 1</w:t>
        </w:r>
      </w:hyperlink>
      <w:r w:rsidRPr="001C4977">
        <w:t xml:space="preserve">, </w:t>
      </w:r>
      <w:hyperlink w:anchor="P51">
        <w:r w:rsidRPr="001C4977">
          <w:t>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 настоящей статьи, в течение одного месяца после окончания сроков представления сведений о доходах, расходах, об имуществе и обязательствах имущественного характера;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лицами, указанными в </w:t>
      </w:r>
      <w:hyperlink w:anchor="P55">
        <w:r w:rsidRPr="001C4977">
          <w:t>части 3</w:t>
        </w:r>
      </w:hyperlink>
      <w:r w:rsidRPr="001C4977">
        <w:t xml:space="preserve"> настоящей статьи, в течение семи рабочих дней со дня представления сведений о доходах, расходах, об имуществе и обязательствах имущественного характера.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6. </w:t>
      </w:r>
      <w:hyperlink r:id="rId9">
        <w:r w:rsidRPr="001C4977">
          <w:t>Порядок</w:t>
        </w:r>
      </w:hyperlink>
      <w:r w:rsidRPr="001C4977">
        <w:t xml:space="preserve"> организации приема исполнительным органом области, являющимся органом по профилактике коррупционных и иных правонарушений, представляемых лицами, указанными в </w:t>
      </w:r>
      <w:hyperlink w:anchor="P50">
        <w:r w:rsidRPr="001C4977">
          <w:t>частях 1</w:t>
        </w:r>
      </w:hyperlink>
      <w:r w:rsidRPr="001C4977">
        <w:t xml:space="preserve">, </w:t>
      </w:r>
      <w:hyperlink w:anchor="P51">
        <w:r w:rsidRPr="001C4977">
          <w:t>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, </w:t>
      </w:r>
      <w:hyperlink w:anchor="P55">
        <w:r w:rsidRPr="001C4977">
          <w:t>3</w:t>
        </w:r>
      </w:hyperlink>
      <w:r w:rsidRPr="001C4977">
        <w:t xml:space="preserve"> настоящей статьи, сведений о доходах, расходах, об имуществе и обязательствах имущественного характера, уведомлений и работы с ними, утверждается Губернатором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6" w:name="P62"/>
      <w:bookmarkEnd w:id="6"/>
      <w:r w:rsidRPr="001C4977"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50">
        <w:r w:rsidRPr="001C4977">
          <w:t>частями 1</w:t>
        </w:r>
      </w:hyperlink>
      <w:r w:rsidRPr="001C4977">
        <w:t xml:space="preserve">, </w:t>
      </w:r>
      <w:hyperlink w:anchor="P51">
        <w:r w:rsidRPr="001C4977">
          <w:t>2</w:t>
        </w:r>
      </w:hyperlink>
      <w:r w:rsidRPr="001C4977">
        <w:t xml:space="preserve">, </w:t>
      </w:r>
      <w:hyperlink w:anchor="P52">
        <w:r w:rsidRPr="001C4977">
          <w:t>2(1)</w:t>
        </w:r>
      </w:hyperlink>
      <w:r w:rsidRPr="001C4977">
        <w:t xml:space="preserve">, </w:t>
      </w:r>
      <w:hyperlink w:anchor="P55">
        <w:r w:rsidRPr="001C4977">
          <w:t>3</w:t>
        </w:r>
      </w:hyperlink>
      <w:r w:rsidRPr="001C4977">
        <w:t xml:space="preserve">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8. Указанная в </w:t>
      </w:r>
      <w:hyperlink w:anchor="P62">
        <w:r w:rsidRPr="001C4977">
          <w:t>части 7</w:t>
        </w:r>
      </w:hyperlink>
      <w:r w:rsidRPr="001C4977">
        <w:t xml:space="preserve"> настоящей статьи проверка осуществляется исполнительным органом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9. Основанием для осуществления проверки, предусмотренной </w:t>
      </w:r>
      <w:hyperlink w:anchor="P62">
        <w:r w:rsidRPr="001C4977">
          <w:t>частью 7</w:t>
        </w:r>
      </w:hyperlink>
      <w:r w:rsidRPr="001C4977">
        <w:t xml:space="preserve"> настоящей статьи, является информация, представленная в письменном виде в установленном порядке: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должностными лицами кадровых служб органов местного самоуправления, ответственными за работу по профилактике коррупционных правонарушений, либо исполнительного органа области, являющегося органом по профилактике коррупционных и иных правонарушений;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Общественной палатой Российской Федерации, Общественной палатой Вологодской области;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общероссийскими и региональными средствами массовой информации.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lastRenderedPageBreak/>
        <w:t>10. Лицо, в отношении которого проводится проверка, вправе: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давать пояснения в письменной форме по вопросам, возникающим в ходе проверки, а также по результатам проверки;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представлять дополнительные материалы и давать по ним пояснения в письменной форме;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обращаться в исполнительный орган области, являющийся органом по профилактике коррупционных и иных правонарушений, с ходатайством о проведении с ним беседы по вопросам, касающимся проверки.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11. По результатам проверки Губернатор области принимает одно из следующих решений: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об отсутствии оснований для применения к лицу, замещающему муниципальную должность, мер ответственности;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об обращении с </w:t>
      </w:r>
      <w:proofErr w:type="gramStart"/>
      <w:r w:rsidRPr="001C4977">
        <w:t>заявлением</w:t>
      </w:r>
      <w:proofErr w:type="gramEnd"/>
      <w:r w:rsidRPr="001C4977">
        <w:t xml:space="preserve">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10">
        <w:r w:rsidRPr="001C4977">
          <w:t>частью 7(3-1) статьи 40</w:t>
        </w:r>
      </w:hyperlink>
      <w:r w:rsidRPr="001C4977"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заявление о применении меры ответственности), в представительный орган муниципального образования области или в суд;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12. Порядок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проверки, утверждается Губернатором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13. </w:t>
      </w:r>
      <w:proofErr w:type="gramStart"/>
      <w:r w:rsidRPr="001C4977">
        <w:t xml:space="preserve">На официальных сайтах органов местного самоуправления муниципальных образований области в информационно-телекоммуникационной сети "Интернет" в месячный срок со дня истечения срока, установленного для подачи сведений о доходах, расходах, об имуществе и обязательствах имущественного характера депутатами представительных органов муниципальных образований области, размещается обобщенная </w:t>
      </w:r>
      <w:hyperlink w:anchor="P239">
        <w:r w:rsidRPr="001C4977">
          <w:t>информация</w:t>
        </w:r>
      </w:hyperlink>
      <w:r w:rsidRPr="001C4977">
        <w:t xml:space="preserve"> об исполнении (ненадлежащем исполнении) ими обязанности по представлению сведений о доходах, расходах, об имуществе и обязательствах имущественного характера</w:t>
      </w:r>
      <w:proofErr w:type="gramEnd"/>
      <w:r w:rsidRPr="001C4977">
        <w:t xml:space="preserve"> (далее - обобщенная информация) по форме согласно приложению 3 к настоящему закону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>Обобщенная информация направляется исполнительным органом области, являющимся органом по профилактике коррупционных и иных правонарушений, в орган местного самоуправления муниципального образования области не позднее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  <w:proofErr w:type="gramEnd"/>
      <w:r w:rsidRPr="001C4977">
        <w:t xml:space="preserve"> Такая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 xml:space="preserve">Статья 2(2). Порядок принятия решения о применении к главе муниципального образования области, депутату представительного </w:t>
      </w:r>
      <w:proofErr w:type="gramStart"/>
      <w:r w:rsidRPr="001C4977">
        <w:t xml:space="preserve">органа муниципального образования </w:t>
      </w:r>
      <w:r w:rsidRPr="001C4977">
        <w:lastRenderedPageBreak/>
        <w:t>области мер ответственности</w:t>
      </w:r>
      <w:proofErr w:type="gramEnd"/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 xml:space="preserve">1. </w:t>
      </w:r>
      <w:proofErr w:type="gramStart"/>
      <w:r w:rsidRPr="001C4977">
        <w:t xml:space="preserve">Меры ответственности, предусмотренные </w:t>
      </w:r>
      <w:hyperlink r:id="rId11">
        <w:r w:rsidRPr="001C4977">
          <w:t>частью 7(3-1) статьи 40</w:t>
        </w:r>
      </w:hyperlink>
      <w:r w:rsidRPr="001C4977"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ответственности),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</w:t>
      </w:r>
      <w:proofErr w:type="gramEnd"/>
      <w:r w:rsidRPr="001C4977">
        <w:t>, депутатом представительного органа муниципального образования области коррупционного правонарушения.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2.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3. </w:t>
      </w:r>
      <w:proofErr w:type="gramStart"/>
      <w:r w:rsidRPr="001C4977">
        <w:t>Глава муниципального образования области,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</w:t>
      </w:r>
      <w:proofErr w:type="gramEnd"/>
      <w:r w:rsidRPr="001C4977">
        <w:t xml:space="preserve">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4.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области.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муниципального образования области, депутатом представительного органа муниципального образования области, право на обжалование решения в порядке, установленном законодательством Российской Федерации.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Информация о принятом </w:t>
      </w:r>
      <w:proofErr w:type="gramStart"/>
      <w:r w:rsidRPr="001C4977">
        <w:t>решении</w:t>
      </w:r>
      <w:proofErr w:type="gramEnd"/>
      <w:r w:rsidRPr="001C4977">
        <w:t xml:space="preserve"> о применении меры ответственности подлежит официальному опубликованию (обнародованию) в </w:t>
      </w:r>
      <w:hyperlink r:id="rId12">
        <w:r w:rsidRPr="001C4977">
          <w:t>порядке</w:t>
        </w:r>
      </w:hyperlink>
      <w:r w:rsidRPr="001C4977">
        <w:t xml:space="preserve">, предусмотренном для опубликования (обнародования) муниципальных правовых актов. Информация о принятом </w:t>
      </w:r>
      <w:proofErr w:type="gramStart"/>
      <w:r w:rsidRPr="001C4977">
        <w:t>решении</w:t>
      </w:r>
      <w:proofErr w:type="gramEnd"/>
      <w:r w:rsidRPr="001C4977">
        <w:t xml:space="preserve">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5.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области,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области,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lastRenderedPageBreak/>
        <w:t xml:space="preserve">6. Порядок принятия решения о применении к главе муниципального образования области, депутату представительного </w:t>
      </w:r>
      <w:proofErr w:type="gramStart"/>
      <w:r w:rsidRPr="001C4977">
        <w:t>органа муниципального образования области мер ответственности</w:t>
      </w:r>
      <w:proofErr w:type="gramEnd"/>
      <w:r w:rsidRPr="001C4977">
        <w:t xml:space="preserve"> определяется муниципальным правовым актом в соответствии с настоящей статьей.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bookmarkStart w:id="7" w:name="P95"/>
      <w:bookmarkEnd w:id="7"/>
      <w:r w:rsidRPr="001C4977">
        <w:t>Статья 2(3). Порядок уведомления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bookmarkStart w:id="8" w:name="P97"/>
      <w:bookmarkEnd w:id="8"/>
      <w:r w:rsidRPr="001C4977">
        <w:t xml:space="preserve">1. </w:t>
      </w:r>
      <w:proofErr w:type="gramStart"/>
      <w:r w:rsidRPr="001C4977">
        <w:t>Лица, замещающие муниципальные должности и осуществляющие свои полномочия на постоянной основе, планирующие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представляют</w:t>
      </w:r>
      <w:proofErr w:type="gramEnd"/>
      <w:r w:rsidRPr="001C4977">
        <w:t xml:space="preserve"> Губернатору области путем направления в исполнительный орган области, являющийся органом по профилактике коррупционных и иных правонарушений, </w:t>
      </w:r>
      <w:hyperlink w:anchor="P206">
        <w:r w:rsidRPr="001C4977">
          <w:t>уведомление</w:t>
        </w:r>
      </w:hyperlink>
      <w:r w:rsidRPr="001C4977">
        <w:t xml:space="preserve">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2. </w:t>
      </w:r>
      <w:proofErr w:type="gramStart"/>
      <w:r w:rsidRPr="001C4977">
        <w:t xml:space="preserve">Указанное в </w:t>
      </w:r>
      <w:hyperlink w:anchor="P97">
        <w:r w:rsidRPr="001C4977">
          <w:t>части 1</w:t>
        </w:r>
      </w:hyperlink>
      <w:r w:rsidRPr="001C4977">
        <w:t xml:space="preserve">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лица, замещающего муниципальную должность и осуществляющего свои полномочия на постоянной основе.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3. </w:t>
      </w:r>
      <w:hyperlink r:id="rId13">
        <w:proofErr w:type="gramStart"/>
        <w:r w:rsidRPr="001C4977">
          <w:t>Порядок</w:t>
        </w:r>
      </w:hyperlink>
      <w:r w:rsidRPr="001C4977">
        <w:t xml:space="preserve"> организации приема исполнительным органом области, являющимся органом по профилактике коррупционных и иных правонарушений, уведомлений об участии на безвозмездной основе в управлении некоммерческой организацией, представляемых лицами, замещающими муниципальные должности и осуществляющими свои полномочия на постоянной основе, и работы с ними утверждается Губернатором области.</w:t>
      </w:r>
      <w:proofErr w:type="gramEnd"/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3. Формирование государственных программ области, определяющих мероприятия по противодействию коррупции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Формирование государственных программ области, определяющих мероприятия по противодействию коррупции, осуществляется в порядке, установленном Правительством области.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4. Антикоррупционная экспертиза нормативных правовых актов области и их проектов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 xml:space="preserve">1.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методике, определенной Правительством Российской Федерации, в пределах полномочий, установленных </w:t>
      </w:r>
      <w:hyperlink w:anchor="P18">
        <w:r w:rsidRPr="001C4977">
          <w:t>статьей 1</w:t>
        </w:r>
      </w:hyperlink>
      <w:r w:rsidRPr="001C4977">
        <w:t xml:space="preserve"> настоящего закона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2. Порядок проведения антикоррупционной экспертизы определяется соответствующим органом государственной власти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3. </w:t>
      </w:r>
      <w:proofErr w:type="gramStart"/>
      <w:r w:rsidRPr="001C4977">
        <w:t xml:space="preserve">Органы государственной власти области,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(за исключением проектов, указанных в </w:t>
      </w:r>
      <w:hyperlink w:anchor="P110">
        <w:r w:rsidRPr="001C4977">
          <w:t>абзацах втором</w:t>
        </w:r>
      </w:hyperlink>
      <w:r w:rsidRPr="001C4977">
        <w:t xml:space="preserve"> и </w:t>
      </w:r>
      <w:hyperlink w:anchor="P111">
        <w:r w:rsidRPr="001C4977">
          <w:t>третьем</w:t>
        </w:r>
      </w:hyperlink>
      <w:r w:rsidRPr="001C4977">
        <w:t xml:space="preserve"> настоящей части), проекты нормативных правовых актов Губернатора </w:t>
      </w:r>
      <w:r w:rsidRPr="001C4977">
        <w:lastRenderedPageBreak/>
        <w:t>области - не менее чем за один рабочий день до их принятия.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9" w:name="P110"/>
      <w:bookmarkEnd w:id="9"/>
      <w:proofErr w:type="gramStart"/>
      <w:r w:rsidRPr="001C4977">
        <w:t xml:space="preserve">Законодательное Собрание области направляет в прокуратуру области для проведения антикоррупционной экспертизы проекты нормативных правовых актов, внесенных в Законодательное Собрание области субъектами права законодательной инициативы, указанными в </w:t>
      </w:r>
      <w:hyperlink r:id="rId14">
        <w:r w:rsidRPr="001C4977">
          <w:t>абзацах четвертом</w:t>
        </w:r>
      </w:hyperlink>
      <w:r w:rsidRPr="001C4977">
        <w:t xml:space="preserve">, </w:t>
      </w:r>
      <w:hyperlink r:id="rId15">
        <w:r w:rsidRPr="001C4977">
          <w:t>пятом</w:t>
        </w:r>
      </w:hyperlink>
      <w:r w:rsidRPr="001C4977">
        <w:t xml:space="preserve"> и </w:t>
      </w:r>
      <w:hyperlink r:id="rId16">
        <w:r w:rsidRPr="001C4977">
          <w:t>седьмом части 1 статьи 51</w:t>
        </w:r>
      </w:hyperlink>
      <w:r w:rsidRPr="001C4977">
        <w:t xml:space="preserve"> Устава области,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bookmarkStart w:id="10" w:name="P111"/>
      <w:bookmarkEnd w:id="10"/>
      <w:r w:rsidRPr="001C4977">
        <w:t xml:space="preserve">Исполнительные органы области, подготовившие проекты законов, вносимые Губернатором области, Правительством области в порядке законодательной инициативы, направляют указанные проекты в прокуратуру области для проведения антикоррупционной экспертизы не </w:t>
      </w:r>
      <w:proofErr w:type="gramStart"/>
      <w:r w:rsidRPr="001C4977">
        <w:t>позднее</w:t>
      </w:r>
      <w:proofErr w:type="gramEnd"/>
      <w:r w:rsidRPr="001C4977">
        <w:t xml:space="preserve"> чем за десять календарных дней до дня их рассмотрения Правительством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Нормативные правовые акты, за исключением законов области, направляются для проведения антикоррупционной экспертизы в прокуратуру области органами государственной власти области, их должностными лицами, принявшими указанные нормативные правовые акты, в течение пяти календарных дней со дня их подписания.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Законы области, принятые Законодательным Собранием области, направляются для проведения антикоррупционной экспертизы в прокуратуру области исполнительным органом области, уполномоченным Правительством области, в течение пяти календарных дней со дня их подписания Губернатором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4. </w:t>
      </w:r>
      <w:proofErr w:type="gramStart"/>
      <w:r w:rsidRPr="001C4977">
        <w:t>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интернет-портале "Портал противодействия коррупции в Вологодской области" (</w:t>
      </w:r>
      <w:hyperlink r:id="rId17">
        <w:r w:rsidRPr="001C4977">
          <w:t>http://anticorrupt.gov35.ru</w:t>
        </w:r>
      </w:hyperlink>
      <w:r w:rsidRPr="001C4977">
        <w:t>) на срок не менее чем семь календарных дней.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Порядок размещения проектов нормативных правовых актов Контрольно-счетной палаты области, Избирательной комиссии области, территориальных избирательных комиссий области на </w:t>
      </w:r>
      <w:proofErr w:type="gramStart"/>
      <w:r w:rsidRPr="001C4977">
        <w:t>едином</w:t>
      </w:r>
      <w:proofErr w:type="gramEnd"/>
      <w:r w:rsidRPr="001C4977">
        <w:t xml:space="preserve"> региональном интернет-портале "Портал противодействия коррупции в Вологодской области" определяется указанными государственными органами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hyperlink r:id="rId18">
        <w:proofErr w:type="gramStart"/>
        <w:r w:rsidRPr="001C4977">
          <w:t>Порядок</w:t>
        </w:r>
      </w:hyperlink>
      <w:r w:rsidRPr="001C4977">
        <w:t xml:space="preserve"> размещения проектов нормативных правовых актов, внесенных в Законодательное Собрание области в порядке законодательной инициативы депутатами Законодательного Собрания, представительными органами местного самоуправления, действующими на территории области, сенаторами Российской Федерации - представителями от Законодательного Собрания и Правительства области, прокурором области, на едином региональном интернет-портале "Портал противодействия коррупции в Вологодской области" определяется Законодательным Собранием области.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proofErr w:type="gramStart"/>
      <w:r w:rsidRPr="001C4977">
        <w:t xml:space="preserve">Проекты нормативных правовых актов, внесенных в Законодательное Собрание области в порядке законодательной инициативы Губернатором области, Правительством области, проекты нормативных правовых актов Губернатора области, Правительства области, исполнительных органов области размещаются на едином региональном интернет-портале "Портал противодействия коррупции в Вологодской области" в </w:t>
      </w:r>
      <w:hyperlink r:id="rId19">
        <w:r w:rsidRPr="001C4977">
          <w:t>порядке</w:t>
        </w:r>
      </w:hyperlink>
      <w:r w:rsidRPr="001C4977">
        <w:t>, установленном Правительством области.</w:t>
      </w:r>
      <w:proofErr w:type="gramEnd"/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5. Антикоррупционный мониторинг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proofErr w:type="gramStart"/>
      <w:r w:rsidRPr="001C4977">
        <w:t xml:space="preserve">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</w:t>
      </w:r>
      <w:proofErr w:type="spellStart"/>
      <w:r w:rsidRPr="001C4977">
        <w:t>коррупциогенных</w:t>
      </w:r>
      <w:proofErr w:type="spellEnd"/>
      <w:r w:rsidRPr="001C4977">
        <w:t xml:space="preserve"> факторов (антикоррупционный мониторинг) в порядке, предусмотренном для </w:t>
      </w:r>
      <w:r w:rsidRPr="001C4977">
        <w:lastRenderedPageBreak/>
        <w:t xml:space="preserve">проведения контроля соблюдения и исполнения нормативных правовых актов области в соответствии с </w:t>
      </w:r>
      <w:hyperlink r:id="rId20">
        <w:r w:rsidRPr="001C4977">
          <w:t>законом</w:t>
        </w:r>
      </w:hyperlink>
      <w:r w:rsidRPr="001C4977">
        <w:t xml:space="preserve"> области от 11 апреля 2016 года N 3932-ОЗ "О контрольных полномочиях</w:t>
      </w:r>
      <w:proofErr w:type="gramEnd"/>
      <w:r w:rsidRPr="001C4977">
        <w:t xml:space="preserve"> Законодательного Собрания Вологодской области" и нормативными правовыми актами Губернатора области и Правительства области.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5(1). Антикоррупционное просвещение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1. Антикоррупционное просвещение - распространение знаний о законодательстве по противодействию коррупции,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мировоззрения, повышения уровня правосознания и правовой культуры посредством антикоррупционного образования и антикоррупционной пропаганды.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2. Под антикоррупционным образованием в целях настоящего закона области понимается процесс обучения в интересах личности, общества и государства в целях формирования антикоррупционного мировоззрения, повышения уровня правосознания и правовой культуры государственных гражданских служащих области и муниципальных служащих, а также подготовки и переподготовки специалистов в сфере проведения антикоррупционной экспертизы и осуществления антикоррупционного мониторинга.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3. Организация антикоррупционного образования обеспечивается органами государственной власти области, органами местного самоуправления в соответствии с федеральным законодательством и нормативными правовыми актами области.</w:t>
      </w:r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 xml:space="preserve">4. </w:t>
      </w:r>
      <w:proofErr w:type="gramStart"/>
      <w:r w:rsidRPr="001C4977">
        <w:t>Антикоррупционная пропаганда представляет собой целенаправленную деятельность органов государственной власти области, органов местного самоуправления, средств массовой информации, учредителями и соучредителями которых являются органы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области чувства гражданской ответственности, формирование нетерпимого отношения к проявлениям коррупции, укрепление доверия к власти.</w:t>
      </w:r>
      <w:proofErr w:type="gramEnd"/>
    </w:p>
    <w:p w:rsidR="001C4977" w:rsidRPr="001C4977" w:rsidRDefault="001C4977">
      <w:pPr>
        <w:pStyle w:val="ConsPlusNormal"/>
        <w:spacing w:before="220"/>
        <w:ind w:firstLine="540"/>
        <w:jc w:val="both"/>
      </w:pPr>
      <w:r w:rsidRPr="001C4977">
        <w:t>5. Антикоррупционная пропаганда осуществляется через средства массовой информации, наружную рекламу,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действующим законодательством формах.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6. Информационное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 xml:space="preserve">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</w:t>
      </w:r>
      <w:proofErr w:type="gramStart"/>
      <w:r w:rsidRPr="001C4977">
        <w:t>освещения деятельности органов государственной власти области</w:t>
      </w:r>
      <w:proofErr w:type="gramEnd"/>
      <w:r w:rsidRPr="001C4977">
        <w:t xml:space="preserve"> и размещения информации, представляющей общественный интерес, в соответствии с </w:t>
      </w:r>
      <w:hyperlink r:id="rId21">
        <w:r w:rsidRPr="001C4977">
          <w:t>законом</w:t>
        </w:r>
      </w:hyperlink>
      <w:r w:rsidRPr="001C4977">
        <w:t xml:space="preserve"> области от 12 апреля 2010 года N 2262-ОЗ "Об информационном обеспечении на территории области".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t>Статья 7. Финансовое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Title"/>
        <w:ind w:firstLine="540"/>
        <w:jc w:val="both"/>
        <w:outlineLvl w:val="1"/>
      </w:pPr>
      <w:r w:rsidRPr="001C4977">
        <w:lastRenderedPageBreak/>
        <w:t>Статья 8. Вступление в силу настоящего закона области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ind w:firstLine="540"/>
        <w:jc w:val="both"/>
      </w:pPr>
      <w:r w:rsidRPr="001C4977">
        <w:t>Настоящий закон области вступает в силу по истечении десяти дней после дня его официального опубликования.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right"/>
      </w:pPr>
      <w:r w:rsidRPr="001C4977">
        <w:t>Губернатор области</w:t>
      </w:r>
    </w:p>
    <w:p w:rsidR="001C4977" w:rsidRPr="001C4977" w:rsidRDefault="001C4977">
      <w:pPr>
        <w:pStyle w:val="ConsPlusNormal"/>
        <w:jc w:val="right"/>
      </w:pPr>
      <w:r w:rsidRPr="001C4977">
        <w:t>В.Е.ПОЗГАЛЕВ</w:t>
      </w:r>
    </w:p>
    <w:p w:rsidR="001C4977" w:rsidRPr="001C4977" w:rsidRDefault="001C4977">
      <w:pPr>
        <w:pStyle w:val="ConsPlusNormal"/>
        <w:jc w:val="both"/>
      </w:pPr>
      <w:r w:rsidRPr="001C4977">
        <w:t>г. Вологда</w:t>
      </w:r>
    </w:p>
    <w:p w:rsidR="001C4977" w:rsidRPr="001C4977" w:rsidRDefault="001C4977">
      <w:pPr>
        <w:pStyle w:val="ConsPlusNormal"/>
        <w:spacing w:before="220"/>
      </w:pPr>
      <w:r w:rsidRPr="001C4977">
        <w:t>9 июля 2009 года</w:t>
      </w:r>
    </w:p>
    <w:p w:rsidR="001C4977" w:rsidRPr="001C4977" w:rsidRDefault="001C4977">
      <w:pPr>
        <w:pStyle w:val="ConsPlusNormal"/>
        <w:spacing w:before="220"/>
      </w:pPr>
      <w:r w:rsidRPr="001C4977">
        <w:t>N 2054-ОЗ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right"/>
        <w:outlineLvl w:val="0"/>
      </w:pPr>
      <w:r w:rsidRPr="001C4977">
        <w:t>Приложение 1</w:t>
      </w:r>
    </w:p>
    <w:p w:rsidR="001C4977" w:rsidRPr="001C4977" w:rsidRDefault="001C4977">
      <w:pPr>
        <w:pStyle w:val="ConsPlusNormal"/>
        <w:jc w:val="right"/>
      </w:pPr>
      <w:r w:rsidRPr="001C4977">
        <w:t>к закону области</w:t>
      </w:r>
    </w:p>
    <w:p w:rsidR="001C4977" w:rsidRPr="001C4977" w:rsidRDefault="001C4977">
      <w:pPr>
        <w:pStyle w:val="ConsPlusNormal"/>
        <w:jc w:val="right"/>
      </w:pPr>
      <w:r w:rsidRPr="001C4977">
        <w:t>"О противодействии коррупции</w:t>
      </w:r>
    </w:p>
    <w:p w:rsidR="001C4977" w:rsidRPr="001C4977" w:rsidRDefault="001C4977">
      <w:pPr>
        <w:pStyle w:val="ConsPlusNormal"/>
        <w:jc w:val="right"/>
      </w:pPr>
      <w:r w:rsidRPr="001C4977">
        <w:t>в Вологодской области"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Губернатору Вологодской области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___________________________________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от ________________________________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   фамилия, имя, отчество полностью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___________________________________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наименование должности с указанием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представительного органа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___________________________________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                  почтовый адрес, телефон</w:t>
      </w:r>
    </w:p>
    <w:p w:rsidR="001C4977" w:rsidRPr="001C4977" w:rsidRDefault="001C4977">
      <w:pPr>
        <w:pStyle w:val="ConsPlusNonformat"/>
        <w:jc w:val="both"/>
      </w:pPr>
    </w:p>
    <w:p w:rsidR="001C4977" w:rsidRPr="001C4977" w:rsidRDefault="001C4977">
      <w:pPr>
        <w:pStyle w:val="ConsPlusNonformat"/>
        <w:jc w:val="both"/>
      </w:pPr>
      <w:bookmarkStart w:id="11" w:name="P168"/>
      <w:bookmarkEnd w:id="11"/>
      <w:r w:rsidRPr="001C4977">
        <w:t xml:space="preserve">                                УВЕДОМЛЕНИЕ</w:t>
      </w:r>
    </w:p>
    <w:p w:rsidR="001C4977" w:rsidRPr="001C4977" w:rsidRDefault="001C4977">
      <w:pPr>
        <w:pStyle w:val="ConsPlusNonformat"/>
        <w:jc w:val="both"/>
      </w:pPr>
    </w:p>
    <w:p w:rsidR="001C4977" w:rsidRPr="001C4977" w:rsidRDefault="001C4977">
      <w:pPr>
        <w:pStyle w:val="ConsPlusNonformat"/>
        <w:jc w:val="both"/>
      </w:pPr>
      <w:r w:rsidRPr="001C4977">
        <w:t xml:space="preserve">    В  соответствии  с  </w:t>
      </w:r>
      <w:hyperlink r:id="rId22">
        <w:r w:rsidRPr="001C4977">
          <w:t>частью  4(2) статьи 12(1)</w:t>
        </w:r>
      </w:hyperlink>
      <w:r w:rsidRPr="001C4977">
        <w:t xml:space="preserve"> Федерального закона от 25</w:t>
      </w:r>
    </w:p>
    <w:p w:rsidR="001C4977" w:rsidRPr="001C4977" w:rsidRDefault="001C4977">
      <w:pPr>
        <w:pStyle w:val="ConsPlusNonformat"/>
        <w:jc w:val="both"/>
      </w:pPr>
      <w:r w:rsidRPr="001C4977">
        <w:t xml:space="preserve">декабря  2008  года  N  273-ФЗ  "О  противодействии коррупции", </w:t>
      </w:r>
      <w:hyperlink w:anchor="P52">
        <w:r w:rsidRPr="001C4977">
          <w:t>частью 2(1)</w:t>
        </w:r>
      </w:hyperlink>
    </w:p>
    <w:p w:rsidR="001C4977" w:rsidRPr="001C4977" w:rsidRDefault="001C4977">
      <w:pPr>
        <w:pStyle w:val="ConsPlusNonformat"/>
        <w:jc w:val="both"/>
      </w:pPr>
      <w:r w:rsidRPr="001C4977">
        <w:t>статьи 2(1) закона области от 9 июля 2009 года N 2054-ОЗ "О противодействии</w:t>
      </w:r>
    </w:p>
    <w:p w:rsidR="001C4977" w:rsidRPr="001C4977" w:rsidRDefault="001C4977">
      <w:pPr>
        <w:pStyle w:val="ConsPlusNonformat"/>
        <w:jc w:val="both"/>
      </w:pPr>
      <w:proofErr w:type="gramStart"/>
      <w:r w:rsidRPr="001C4977">
        <w:t>коррупции в Вологодской области" уведомляю Вас о том, что мною, моей (моим)</w:t>
      </w:r>
      <w:proofErr w:type="gramEnd"/>
    </w:p>
    <w:p w:rsidR="001C4977" w:rsidRPr="001C4977" w:rsidRDefault="001C4977">
      <w:pPr>
        <w:pStyle w:val="ConsPlusNonformat"/>
        <w:jc w:val="both"/>
      </w:pPr>
      <w:r w:rsidRPr="001C4977">
        <w:t>супругой    (супругом)   и   (или)   несовершеннолетними   детьми   сделки,</w:t>
      </w:r>
    </w:p>
    <w:p w:rsidR="001C4977" w:rsidRPr="001C4977" w:rsidRDefault="001C4977">
      <w:pPr>
        <w:pStyle w:val="ConsPlusNonformat"/>
        <w:jc w:val="both"/>
      </w:pPr>
      <w:r w:rsidRPr="001C4977">
        <w:t xml:space="preserve">предусмотренные  </w:t>
      </w:r>
      <w:hyperlink r:id="rId23">
        <w:r w:rsidRPr="001C4977">
          <w:t>частью  1  статьи  3</w:t>
        </w:r>
      </w:hyperlink>
      <w:r w:rsidRPr="001C4977">
        <w:t xml:space="preserve"> Федерального закона от 3 декабря 2012</w:t>
      </w:r>
    </w:p>
    <w:p w:rsidR="001C4977" w:rsidRPr="001C4977" w:rsidRDefault="001C4977">
      <w:pPr>
        <w:pStyle w:val="ConsPlusNonformat"/>
        <w:jc w:val="both"/>
      </w:pPr>
      <w:r w:rsidRPr="001C4977">
        <w:t xml:space="preserve">года  N  230-ФЗ  "О  </w:t>
      </w:r>
      <w:proofErr w:type="gramStart"/>
      <w:r w:rsidRPr="001C4977">
        <w:t>контроле  за</w:t>
      </w:r>
      <w:proofErr w:type="gramEnd"/>
      <w:r w:rsidRPr="001C4977">
        <w:t xml:space="preserve">  соответствием  расходов  лиц, замещающих</w:t>
      </w:r>
    </w:p>
    <w:p w:rsidR="001C4977" w:rsidRPr="001C4977" w:rsidRDefault="001C4977">
      <w:pPr>
        <w:pStyle w:val="ConsPlusNonformat"/>
        <w:jc w:val="both"/>
      </w:pPr>
      <w:r w:rsidRPr="001C4977">
        <w:t xml:space="preserve">государственные  должности,  и  иных  лиц  их доходам", в течение </w:t>
      </w:r>
      <w:proofErr w:type="gramStart"/>
      <w:r w:rsidRPr="001C4977">
        <w:t>отчетного</w:t>
      </w:r>
      <w:proofErr w:type="gramEnd"/>
    </w:p>
    <w:p w:rsidR="001C4977" w:rsidRPr="001C4977" w:rsidRDefault="001C4977">
      <w:pPr>
        <w:pStyle w:val="ConsPlusNonformat"/>
        <w:jc w:val="both"/>
      </w:pPr>
      <w:r w:rsidRPr="001C4977">
        <w:t>периода с 1 января 20__ года по 31 декабря 20__ года не совершались.</w:t>
      </w:r>
    </w:p>
    <w:p w:rsidR="001C4977" w:rsidRPr="001C4977" w:rsidRDefault="001C4977">
      <w:pPr>
        <w:pStyle w:val="ConsPlusNonformat"/>
        <w:jc w:val="both"/>
      </w:pPr>
    </w:p>
    <w:p w:rsidR="001C4977" w:rsidRPr="001C4977" w:rsidRDefault="001C4977">
      <w:pPr>
        <w:pStyle w:val="ConsPlusNonformat"/>
        <w:jc w:val="both"/>
      </w:pPr>
      <w:r w:rsidRPr="001C4977">
        <w:t>Достоверность и полноту настоящих сведений подтверждаю.</w:t>
      </w:r>
    </w:p>
    <w:p w:rsidR="001C4977" w:rsidRPr="001C4977" w:rsidRDefault="001C4977">
      <w:pPr>
        <w:pStyle w:val="ConsPlusNonformat"/>
        <w:jc w:val="both"/>
      </w:pPr>
    </w:p>
    <w:p w:rsidR="001C4977" w:rsidRPr="001C4977" w:rsidRDefault="001C4977">
      <w:pPr>
        <w:pStyle w:val="ConsPlusNonformat"/>
        <w:jc w:val="both"/>
      </w:pPr>
      <w:r w:rsidRPr="001C4977">
        <w:t>"__"_____________ 20__ г. _________________________________________________</w:t>
      </w:r>
    </w:p>
    <w:p w:rsidR="001C4977" w:rsidRPr="001C4977" w:rsidRDefault="001C4977">
      <w:pPr>
        <w:pStyle w:val="ConsPlusNonformat"/>
        <w:jc w:val="both"/>
      </w:pPr>
      <w:r w:rsidRPr="001C4977">
        <w:t xml:space="preserve">                            (подпись лица, представляющего уведомление)</w:t>
      </w: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right"/>
        <w:outlineLvl w:val="0"/>
      </w:pPr>
      <w:r w:rsidRPr="001C4977">
        <w:t>Приложение 2</w:t>
      </w:r>
    </w:p>
    <w:p w:rsidR="001C4977" w:rsidRPr="001C4977" w:rsidRDefault="001C4977">
      <w:pPr>
        <w:pStyle w:val="ConsPlusNormal"/>
        <w:jc w:val="right"/>
      </w:pPr>
      <w:r w:rsidRPr="001C4977">
        <w:t>к закону области</w:t>
      </w:r>
    </w:p>
    <w:p w:rsidR="001C4977" w:rsidRPr="001C4977" w:rsidRDefault="001C4977">
      <w:pPr>
        <w:pStyle w:val="ConsPlusNormal"/>
        <w:jc w:val="right"/>
      </w:pPr>
      <w:r w:rsidRPr="001C4977">
        <w:t>"О противодействии коррупции</w:t>
      </w:r>
    </w:p>
    <w:p w:rsidR="001C4977" w:rsidRPr="001C4977" w:rsidRDefault="001C4977">
      <w:pPr>
        <w:pStyle w:val="ConsPlusNormal"/>
        <w:jc w:val="right"/>
      </w:pPr>
      <w:r w:rsidRPr="001C4977">
        <w:t>в Вологодской области"</w:t>
      </w:r>
    </w:p>
    <w:p w:rsidR="001C4977" w:rsidRPr="001C4977" w:rsidRDefault="001C49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3"/>
        <w:gridCol w:w="958"/>
        <w:gridCol w:w="1766"/>
        <w:gridCol w:w="454"/>
        <w:gridCol w:w="3822"/>
        <w:gridCol w:w="340"/>
      </w:tblGrid>
      <w:tr w:rsidR="001C4977" w:rsidRPr="001C4977">
        <w:tc>
          <w:tcPr>
            <w:tcW w:w="4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Губернатору Вологодской области</w:t>
            </w:r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blPrEx>
          <w:tblBorders>
            <w:insideH w:val="single" w:sz="4" w:space="0" w:color="auto"/>
          </w:tblBorders>
        </w:tblPrEx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от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proofErr w:type="gramStart"/>
            <w:r w:rsidRPr="001C4977">
              <w:t>(фамилия, имя, отчество полностью,</w:t>
            </w:r>
            <w:proofErr w:type="gramEnd"/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r w:rsidRPr="001C4977">
              <w:t>замещаемая должность,</w:t>
            </w:r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r w:rsidRPr="001C4977">
              <w:t>почтовый адрес, телефон)</w:t>
            </w: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bookmarkStart w:id="12" w:name="P206"/>
            <w:bookmarkEnd w:id="12"/>
            <w:r w:rsidRPr="001C4977">
              <w:t>УВЕДОМЛЕНИЕ</w:t>
            </w:r>
          </w:p>
          <w:p w:rsidR="001C4977" w:rsidRPr="001C4977" w:rsidRDefault="001C4977">
            <w:pPr>
              <w:pStyle w:val="ConsPlusNormal"/>
              <w:jc w:val="center"/>
            </w:pPr>
            <w:r w:rsidRPr="001C4977">
              <w:t>об участии на безвозмездной основе</w:t>
            </w:r>
          </w:p>
          <w:p w:rsidR="001C4977" w:rsidRPr="001C4977" w:rsidRDefault="001C4977">
            <w:pPr>
              <w:pStyle w:val="ConsPlusNormal"/>
              <w:jc w:val="center"/>
            </w:pPr>
            <w:r w:rsidRPr="001C4977">
              <w:t>в управлении некоммерческой организацией</w:t>
            </w: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ind w:firstLine="283"/>
              <w:jc w:val="both"/>
            </w:pPr>
            <w:proofErr w:type="gramStart"/>
            <w:r w:rsidRPr="001C4977">
              <w:t xml:space="preserve">В соответствии с </w:t>
            </w:r>
            <w:hyperlink r:id="rId24">
              <w:r w:rsidRPr="001C4977">
                <w:t>частью 7 статьи 40</w:t>
              </w:r>
            </w:hyperlink>
            <w:r w:rsidRPr="001C4977">
      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      </w:r>
            <w:hyperlink r:id="rId25">
              <w:r w:rsidRPr="001C4977">
                <w:t>статьей 12(1)</w:t>
              </w:r>
            </w:hyperlink>
            <w:r w:rsidRPr="001C4977">
              <w:t xml:space="preserve"> Федерального закона от 25 декабря 2008 года N 273-ФЗ "О противодействии коррупции", </w:t>
            </w:r>
            <w:hyperlink w:anchor="P95">
              <w:r w:rsidRPr="001C4977">
                <w:t>статьей 2(3)</w:t>
              </w:r>
            </w:hyperlink>
            <w:r w:rsidRPr="001C4977">
              <w:t xml:space="preserve"> закона области от 9 июля 2009 года N 2054-ОЗ "О противодействии коррупции в Вологодской области" уведомляю о</w:t>
            </w:r>
            <w:proofErr w:type="gramEnd"/>
            <w:r w:rsidRPr="001C4977">
              <w:t xml:space="preserve"> </w:t>
            </w:r>
            <w:proofErr w:type="gramStart"/>
            <w:r w:rsidRPr="001C4977">
              <w:t>намерении</w:t>
            </w:r>
            <w:proofErr w:type="gramEnd"/>
            <w:r w:rsidRPr="001C4977">
              <w:t xml:space="preserve"> участвовать на безвозмездной основе в управлении некоммерческой</w:t>
            </w:r>
          </w:p>
        </w:tc>
      </w:tr>
      <w:tr w:rsidR="001C4977" w:rsidRPr="001C4977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организацией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(наименование и адрес организации, основной вид деятельности организации, даты начала и окончания участия в управлении)</w:t>
            </w: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blPrEx>
          <w:tblBorders>
            <w:insideH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в качестве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both"/>
            </w:pPr>
            <w:r w:rsidRPr="001C4977">
              <w:t>.</w:t>
            </w:r>
          </w:p>
        </w:tc>
      </w:tr>
      <w:tr w:rsidR="001C4977" w:rsidRPr="001C4977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ind w:firstLine="283"/>
              <w:jc w:val="both"/>
            </w:pPr>
            <w:r w:rsidRPr="001C4977">
              <w:t xml:space="preserve">При осуществлении указанной деятельности обязуюсь соблюдать ограничения, запреты, исполнять обязанности, которые установлены </w:t>
            </w:r>
            <w:hyperlink r:id="rId26">
              <w:r w:rsidRPr="001C4977">
                <w:t>статьей 12(1)</w:t>
              </w:r>
            </w:hyperlink>
            <w:r w:rsidRPr="001C4977"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1C4977" w:rsidRPr="001C4977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Приложение: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r w:rsidRPr="001C4977">
              <w:t>(копии учредительных документов)</w:t>
            </w:r>
          </w:p>
        </w:tc>
      </w:tr>
      <w:tr w:rsidR="001C4977" w:rsidRPr="001C4977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"__"__________ 20__ г.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r w:rsidRPr="001C4977">
              <w:t>(подпись лица, представившего уведомление)</w:t>
            </w:r>
          </w:p>
        </w:tc>
      </w:tr>
    </w:tbl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both"/>
      </w:pPr>
    </w:p>
    <w:p w:rsidR="001C4977" w:rsidRPr="001C4977" w:rsidRDefault="001C4977">
      <w:pPr>
        <w:pStyle w:val="ConsPlusNormal"/>
        <w:jc w:val="right"/>
        <w:outlineLvl w:val="0"/>
      </w:pPr>
      <w:r w:rsidRPr="001C4977">
        <w:lastRenderedPageBreak/>
        <w:t>Приложение 3</w:t>
      </w:r>
    </w:p>
    <w:p w:rsidR="001C4977" w:rsidRPr="001C4977" w:rsidRDefault="001C4977">
      <w:pPr>
        <w:pStyle w:val="ConsPlusNormal"/>
        <w:jc w:val="right"/>
      </w:pPr>
      <w:r w:rsidRPr="001C4977">
        <w:t>к закону области</w:t>
      </w:r>
    </w:p>
    <w:p w:rsidR="001C4977" w:rsidRPr="001C4977" w:rsidRDefault="001C4977">
      <w:pPr>
        <w:pStyle w:val="ConsPlusNormal"/>
        <w:jc w:val="right"/>
      </w:pPr>
      <w:r w:rsidRPr="001C4977">
        <w:t>"О противодействии коррупции</w:t>
      </w:r>
    </w:p>
    <w:p w:rsidR="001C4977" w:rsidRPr="001C4977" w:rsidRDefault="001C4977">
      <w:pPr>
        <w:pStyle w:val="ConsPlusNormal"/>
        <w:jc w:val="right"/>
      </w:pPr>
      <w:r w:rsidRPr="001C4977">
        <w:t>в Вологодской области"</w:t>
      </w:r>
    </w:p>
    <w:p w:rsidR="001C4977" w:rsidRPr="001C4977" w:rsidRDefault="001C49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576"/>
        <w:gridCol w:w="1304"/>
      </w:tblGrid>
      <w:tr w:rsidR="001C4977" w:rsidRPr="001C4977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bookmarkStart w:id="13" w:name="P239"/>
            <w:bookmarkEnd w:id="13"/>
            <w:r w:rsidRPr="001C4977">
              <w:t>ОБОБЩЕННАЯ ИНФОРМАЦИЯ</w:t>
            </w:r>
          </w:p>
          <w:p w:rsidR="001C4977" w:rsidRPr="001C4977" w:rsidRDefault="001C4977">
            <w:pPr>
              <w:pStyle w:val="ConsPlusNormal"/>
              <w:jc w:val="center"/>
            </w:pPr>
            <w:r w:rsidRPr="001C4977">
              <w:t>об исполнении (ненадлежащем исполнении) депутатами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  <w:r w:rsidRPr="001C4977">
              <w:t>(наименование представительного органа муниципального образования области)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  <w:tr w:rsidR="001C4977" w:rsidRPr="001C4977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  <w:jc w:val="center"/>
            </w:pPr>
            <w:r w:rsidRPr="001C4977">
              <w:t>обязанности по представлению сведений о доходах, расходах,</w:t>
            </w:r>
          </w:p>
          <w:p w:rsidR="001C4977" w:rsidRPr="001C4977" w:rsidRDefault="001C4977">
            <w:pPr>
              <w:pStyle w:val="ConsPlusNormal"/>
              <w:jc w:val="center"/>
            </w:pPr>
            <w:r w:rsidRPr="001C4977">
              <w:t>об имуществе и обязательствах имущественного характера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4977" w:rsidRPr="001C4977" w:rsidRDefault="001C4977">
            <w:pPr>
              <w:pStyle w:val="ConsPlusNormal"/>
            </w:pPr>
          </w:p>
        </w:tc>
      </w:tr>
    </w:tbl>
    <w:p w:rsidR="001C4977" w:rsidRPr="001C4977" w:rsidRDefault="001C49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989"/>
      </w:tblGrid>
      <w:tr w:rsidR="001C4977" w:rsidRPr="001C4977">
        <w:tc>
          <w:tcPr>
            <w:tcW w:w="4025" w:type="dxa"/>
          </w:tcPr>
          <w:p w:rsidR="001C4977" w:rsidRPr="001C4977" w:rsidRDefault="001C4977">
            <w:pPr>
              <w:pStyle w:val="ConsPlusNormal"/>
            </w:pPr>
            <w:r w:rsidRPr="001C4977">
              <w:t>Количество депутатов,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89" w:type="dxa"/>
          </w:tcPr>
          <w:p w:rsidR="001C4977" w:rsidRPr="001C4977" w:rsidRDefault="001C4977">
            <w:pPr>
              <w:pStyle w:val="ConsPlusNormal"/>
            </w:pPr>
            <w:r w:rsidRPr="001C4977">
              <w:t xml:space="preserve">Количество депутатов, </w:t>
            </w:r>
            <w:proofErr w:type="spellStart"/>
            <w:r w:rsidRPr="001C4977">
              <w:t>ненадлежаще</w:t>
            </w:r>
            <w:proofErr w:type="spellEnd"/>
            <w:r w:rsidRPr="001C4977">
              <w:t xml:space="preserve"> исполнивших обязанность по представлению сведений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</w:tc>
      </w:tr>
      <w:tr w:rsidR="001C4977" w:rsidRPr="001C4977">
        <w:tc>
          <w:tcPr>
            <w:tcW w:w="4025" w:type="dxa"/>
          </w:tcPr>
          <w:p w:rsidR="001C4977" w:rsidRPr="001C4977" w:rsidRDefault="001C4977">
            <w:pPr>
              <w:pStyle w:val="ConsPlusNormal"/>
            </w:pPr>
          </w:p>
        </w:tc>
        <w:tc>
          <w:tcPr>
            <w:tcW w:w="4989" w:type="dxa"/>
          </w:tcPr>
          <w:p w:rsidR="001C4977" w:rsidRPr="001C4977" w:rsidRDefault="001C4977">
            <w:pPr>
              <w:pStyle w:val="ConsPlusNormal"/>
            </w:pPr>
          </w:p>
        </w:tc>
      </w:tr>
      <w:bookmarkEnd w:id="0"/>
    </w:tbl>
    <w:p w:rsidR="001C4977" w:rsidRPr="001C4977" w:rsidRDefault="001C4977">
      <w:pPr>
        <w:pStyle w:val="ConsPlusNormal"/>
        <w:jc w:val="both"/>
      </w:pPr>
    </w:p>
    <w:sectPr w:rsidR="001C4977" w:rsidRPr="001C4977" w:rsidSect="00B6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77"/>
    <w:rsid w:val="001C4977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49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4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9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49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4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9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8&amp;dst=100045" TargetMode="External"/><Relationship Id="rId13" Type="http://schemas.openxmlformats.org/officeDocument/2006/relationships/hyperlink" Target="https://login.consultant.ru/link/?req=doc&amp;base=RLAW095&amp;n=239349&amp;dst=100039" TargetMode="External"/><Relationship Id="rId18" Type="http://schemas.openxmlformats.org/officeDocument/2006/relationships/hyperlink" Target="https://login.consultant.ru/link/?req=doc&amp;base=RLAW095&amp;n=221431&amp;dst=100020" TargetMode="External"/><Relationship Id="rId26" Type="http://schemas.openxmlformats.org/officeDocument/2006/relationships/hyperlink" Target="https://login.consultant.ru/link/?req=doc&amp;base=LAW&amp;n=482878&amp;dst=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43275" TargetMode="External"/><Relationship Id="rId7" Type="http://schemas.openxmlformats.org/officeDocument/2006/relationships/hyperlink" Target="https://login.consultant.ru/link/?req=doc&amp;base=LAW&amp;n=442435&amp;dst=60" TargetMode="External"/><Relationship Id="rId12" Type="http://schemas.openxmlformats.org/officeDocument/2006/relationships/hyperlink" Target="https://login.consultant.ru/link/?req=doc&amp;base=LAW&amp;n=480999&amp;dst=848" TargetMode="External"/><Relationship Id="rId17" Type="http://schemas.openxmlformats.org/officeDocument/2006/relationships/hyperlink" Target="http://anticorrupt.gov35.ru" TargetMode="External"/><Relationship Id="rId25" Type="http://schemas.openxmlformats.org/officeDocument/2006/relationships/hyperlink" Target="https://login.consultant.ru/link/?req=doc&amp;base=LAW&amp;n=482878&amp;dst=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40012&amp;dst=100903" TargetMode="External"/><Relationship Id="rId20" Type="http://schemas.openxmlformats.org/officeDocument/2006/relationships/hyperlink" Target="https://login.consultant.ru/link/?req=doc&amp;base=RLAW095&amp;n=2273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5&amp;dst=60" TargetMode="External"/><Relationship Id="rId11" Type="http://schemas.openxmlformats.org/officeDocument/2006/relationships/hyperlink" Target="https://login.consultant.ru/link/?req=doc&amp;base=LAW&amp;n=480999&amp;dst=880" TargetMode="External"/><Relationship Id="rId24" Type="http://schemas.openxmlformats.org/officeDocument/2006/relationships/hyperlink" Target="https://login.consultant.ru/link/?req=doc&amp;base=LAW&amp;n=480999&amp;dst=897" TargetMode="External"/><Relationship Id="rId5" Type="http://schemas.openxmlformats.org/officeDocument/2006/relationships/hyperlink" Target="https://login.consultant.ru/link/?req=doc&amp;base=LAW&amp;n=482878&amp;dst=69" TargetMode="External"/><Relationship Id="rId15" Type="http://schemas.openxmlformats.org/officeDocument/2006/relationships/hyperlink" Target="https://login.consultant.ru/link/?req=doc&amp;base=RLAW095&amp;n=240012&amp;dst=101235" TargetMode="External"/><Relationship Id="rId23" Type="http://schemas.openxmlformats.org/officeDocument/2006/relationships/hyperlink" Target="https://login.consultant.ru/link/?req=doc&amp;base=LAW&amp;n=442435&amp;dst=1001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880" TargetMode="External"/><Relationship Id="rId19" Type="http://schemas.openxmlformats.org/officeDocument/2006/relationships/hyperlink" Target="https://login.consultant.ru/link/?req=doc&amp;base=RLAW095&amp;n=248584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8587&amp;dst=100151" TargetMode="External"/><Relationship Id="rId14" Type="http://schemas.openxmlformats.org/officeDocument/2006/relationships/hyperlink" Target="https://login.consultant.ru/link/?req=doc&amp;base=RLAW095&amp;n=240012&amp;dst=100343" TargetMode="External"/><Relationship Id="rId22" Type="http://schemas.openxmlformats.org/officeDocument/2006/relationships/hyperlink" Target="https://login.consultant.ru/link/?req=doc&amp;base=LAW&amp;n=482878&amp;dst=2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5324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2025-04-21T06:23:00Z</dcterms:created>
  <dcterms:modified xsi:type="dcterms:W3CDTF">2025-04-21T06:23:00Z</dcterms:modified>
</cp:coreProperties>
</file>